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F3CB241" w:rsidR="00B06FDE" w:rsidRDefault="091988B5" w:rsidP="6D45FC66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6D45FC66">
        <w:rPr>
          <w:rFonts w:ascii="Garamond" w:eastAsia="Garamond" w:hAnsi="Garamond" w:cs="Garamond"/>
          <w:b/>
          <w:bCs/>
          <w:sz w:val="28"/>
          <w:szCs w:val="28"/>
        </w:rPr>
        <w:t>Goal Setting Assignment</w:t>
      </w:r>
    </w:p>
    <w:p w14:paraId="4C9C0F08" w14:textId="7F1B8F7B" w:rsidR="73555931" w:rsidRDefault="73555931" w:rsidP="6D45FC66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6B6F22B1" w14:textId="3E17917D" w:rsidR="0EDA95C6" w:rsidRDefault="0EDA95C6" w:rsidP="5AF93995">
      <w:pPr>
        <w:rPr>
          <w:rFonts w:ascii="Garamond" w:eastAsia="Garamond" w:hAnsi="Garamond" w:cs="Garamond"/>
        </w:rPr>
      </w:pPr>
      <w:r w:rsidRPr="5AF93995">
        <w:rPr>
          <w:rFonts w:ascii="Garamond" w:eastAsia="Garamond" w:hAnsi="Garamond" w:cs="Garamond"/>
          <w:sz w:val="24"/>
          <w:szCs w:val="24"/>
        </w:rPr>
        <w:t xml:space="preserve">The intention of this assignment is to provide </w:t>
      </w:r>
      <w:r w:rsidR="1A225C86" w:rsidRPr="5AF93995">
        <w:rPr>
          <w:rFonts w:ascii="Garamond" w:eastAsia="Garamond" w:hAnsi="Garamond" w:cs="Garamond"/>
          <w:sz w:val="24"/>
          <w:szCs w:val="24"/>
        </w:rPr>
        <w:t>students with</w:t>
      </w:r>
      <w:r w:rsidRPr="5AF93995">
        <w:rPr>
          <w:rFonts w:ascii="Garamond" w:eastAsia="Garamond" w:hAnsi="Garamond" w:cs="Garamond"/>
          <w:sz w:val="24"/>
          <w:szCs w:val="24"/>
        </w:rPr>
        <w:t xml:space="preserve"> the opportunity to reflect on their </w:t>
      </w:r>
      <w:proofErr w:type="gramStart"/>
      <w:r w:rsidR="183DCA3D" w:rsidRPr="5AF93995">
        <w:rPr>
          <w:rFonts w:ascii="Garamond" w:eastAsia="Garamond" w:hAnsi="Garamond" w:cs="Garamond"/>
          <w:sz w:val="24"/>
          <w:szCs w:val="24"/>
        </w:rPr>
        <w:t>future</w:t>
      </w:r>
      <w:r w:rsidR="3003BBAF" w:rsidRPr="5AF93995">
        <w:rPr>
          <w:rFonts w:ascii="Garamond" w:eastAsia="Garamond" w:hAnsi="Garamond" w:cs="Garamond"/>
          <w:sz w:val="24"/>
          <w:szCs w:val="24"/>
        </w:rPr>
        <w:t xml:space="preserve"> plans</w:t>
      </w:r>
      <w:proofErr w:type="gramEnd"/>
      <w:r w:rsidR="3003BBAF" w:rsidRPr="5AF93995">
        <w:rPr>
          <w:rFonts w:ascii="Garamond" w:eastAsia="Garamond" w:hAnsi="Garamond" w:cs="Garamond"/>
          <w:sz w:val="24"/>
          <w:szCs w:val="24"/>
        </w:rPr>
        <w:t xml:space="preserve"> and to give you something to think about as you complete the Goals section of your Professional Portfolio</w:t>
      </w:r>
      <w:r w:rsidRPr="5AF93995">
        <w:rPr>
          <w:rFonts w:ascii="Garamond" w:eastAsia="Garamond" w:hAnsi="Garamond" w:cs="Garamond"/>
          <w:sz w:val="24"/>
          <w:szCs w:val="24"/>
        </w:rPr>
        <w:t xml:space="preserve">.  </w:t>
      </w:r>
    </w:p>
    <w:p w14:paraId="1262C59D" w14:textId="165511C0" w:rsidR="0EDA95C6" w:rsidRDefault="0EDA95C6" w:rsidP="5AF93995">
      <w:pPr>
        <w:rPr>
          <w:rFonts w:ascii="Garamond" w:eastAsia="Garamond" w:hAnsi="Garamond" w:cs="Garamond"/>
          <w:sz w:val="24"/>
          <w:szCs w:val="24"/>
        </w:rPr>
      </w:pPr>
      <w:r w:rsidRPr="5AF93995">
        <w:rPr>
          <w:rFonts w:ascii="Garamond" w:eastAsia="Garamond" w:hAnsi="Garamond" w:cs="Garamond"/>
          <w:sz w:val="24"/>
          <w:szCs w:val="24"/>
        </w:rPr>
        <w:t xml:space="preserve">Having goals is important but it is also important to understand that </w:t>
      </w:r>
      <w:r w:rsidR="14E27904" w:rsidRPr="5AF93995">
        <w:rPr>
          <w:rFonts w:ascii="Garamond" w:eastAsia="Garamond" w:hAnsi="Garamond" w:cs="Garamond"/>
          <w:sz w:val="24"/>
          <w:szCs w:val="24"/>
        </w:rPr>
        <w:t xml:space="preserve">goals alone aren't the be all and end all of success.  Your process for achieving </w:t>
      </w:r>
      <w:r w:rsidR="473E638F" w:rsidRPr="5AF93995">
        <w:rPr>
          <w:rFonts w:ascii="Garamond" w:eastAsia="Garamond" w:hAnsi="Garamond" w:cs="Garamond"/>
          <w:sz w:val="24"/>
          <w:szCs w:val="24"/>
        </w:rPr>
        <w:t>identity achievement is also important</w:t>
      </w:r>
      <w:r w:rsidR="1892D9CB" w:rsidRPr="5AF93995">
        <w:rPr>
          <w:rFonts w:ascii="Garamond" w:eastAsia="Garamond" w:hAnsi="Garamond" w:cs="Garamond"/>
          <w:sz w:val="24"/>
          <w:szCs w:val="24"/>
        </w:rPr>
        <w:t xml:space="preserve"> and your goals should re</w:t>
      </w:r>
      <w:r w:rsidR="69137E7B" w:rsidRPr="5AF93995">
        <w:rPr>
          <w:rFonts w:ascii="Garamond" w:eastAsia="Garamond" w:hAnsi="Garamond" w:cs="Garamond"/>
          <w:sz w:val="24"/>
          <w:szCs w:val="24"/>
        </w:rPr>
        <w:t xml:space="preserve">flect where you are in terms of exploration and commitment.  </w:t>
      </w:r>
      <w:r w:rsidR="473E638F" w:rsidRPr="5AF93995">
        <w:rPr>
          <w:rFonts w:ascii="Garamond" w:eastAsia="Garamond" w:hAnsi="Garamond" w:cs="Garamond"/>
          <w:sz w:val="24"/>
          <w:szCs w:val="24"/>
        </w:rPr>
        <w:t xml:space="preserve">Some students might have very detailed goals about a specific trade or career path while other students may have goals </w:t>
      </w:r>
      <w:r w:rsidR="089E39CB" w:rsidRPr="5AF93995">
        <w:rPr>
          <w:rFonts w:ascii="Garamond" w:eastAsia="Garamond" w:hAnsi="Garamond" w:cs="Garamond"/>
          <w:sz w:val="24"/>
          <w:szCs w:val="24"/>
        </w:rPr>
        <w:t xml:space="preserve">related to exploring </w:t>
      </w:r>
      <w:r w:rsidR="01B7AEF9" w:rsidRPr="5AF93995">
        <w:rPr>
          <w:rFonts w:ascii="Garamond" w:eastAsia="Garamond" w:hAnsi="Garamond" w:cs="Garamond"/>
          <w:sz w:val="24"/>
          <w:szCs w:val="24"/>
        </w:rPr>
        <w:t>possibilities and finding passions</w:t>
      </w:r>
      <w:r w:rsidR="473E638F" w:rsidRPr="5AF93995">
        <w:rPr>
          <w:rFonts w:ascii="Garamond" w:eastAsia="Garamond" w:hAnsi="Garamond" w:cs="Garamond"/>
          <w:sz w:val="24"/>
          <w:szCs w:val="24"/>
        </w:rPr>
        <w:t>.</w:t>
      </w:r>
      <w:r w:rsidR="405B2760" w:rsidRPr="5AF93995">
        <w:rPr>
          <w:rFonts w:ascii="Garamond" w:eastAsia="Garamond" w:hAnsi="Garamond" w:cs="Garamond"/>
          <w:sz w:val="24"/>
          <w:szCs w:val="24"/>
        </w:rPr>
        <w:t xml:space="preserve">  Either of these</w:t>
      </w:r>
      <w:r w:rsidR="5ED3E062" w:rsidRPr="5AF93995">
        <w:rPr>
          <w:rFonts w:ascii="Garamond" w:eastAsia="Garamond" w:hAnsi="Garamond" w:cs="Garamond"/>
          <w:sz w:val="24"/>
          <w:szCs w:val="24"/>
        </w:rPr>
        <w:t xml:space="preserve"> types of</w:t>
      </w:r>
      <w:r w:rsidR="405B2760" w:rsidRPr="5AF93995">
        <w:rPr>
          <w:rFonts w:ascii="Garamond" w:eastAsia="Garamond" w:hAnsi="Garamond" w:cs="Garamond"/>
          <w:sz w:val="24"/>
          <w:szCs w:val="24"/>
        </w:rPr>
        <w:t xml:space="preserve"> goal are acceptable</w:t>
      </w:r>
      <w:r w:rsidR="4E77E779" w:rsidRPr="5AF93995">
        <w:rPr>
          <w:rFonts w:ascii="Garamond" w:eastAsia="Garamond" w:hAnsi="Garamond" w:cs="Garamond"/>
          <w:sz w:val="24"/>
          <w:szCs w:val="24"/>
        </w:rPr>
        <w:t xml:space="preserve"> and your ultimate success will likely depend on your </w:t>
      </w:r>
      <w:r w:rsidR="0BCA6870" w:rsidRPr="5AF93995">
        <w:rPr>
          <w:rFonts w:ascii="Garamond" w:eastAsia="Garamond" w:hAnsi="Garamond" w:cs="Garamond"/>
          <w:sz w:val="24"/>
          <w:szCs w:val="24"/>
        </w:rPr>
        <w:t>openness to examining</w:t>
      </w:r>
      <w:r w:rsidR="700A6F52" w:rsidRPr="5AF93995">
        <w:rPr>
          <w:rFonts w:ascii="Garamond" w:eastAsia="Garamond" w:hAnsi="Garamond" w:cs="Garamond"/>
          <w:sz w:val="24"/>
          <w:szCs w:val="24"/>
        </w:rPr>
        <w:t xml:space="preserve"> where you are in terms of identity development.</w:t>
      </w:r>
      <w:r w:rsidR="0BCA6870" w:rsidRPr="5AF93995">
        <w:rPr>
          <w:rFonts w:ascii="Garamond" w:eastAsia="Garamond" w:hAnsi="Garamond" w:cs="Garamond"/>
          <w:sz w:val="24"/>
          <w:szCs w:val="24"/>
        </w:rPr>
        <w:t xml:space="preserve"> </w:t>
      </w:r>
      <w:r w:rsidR="4E77E779" w:rsidRPr="5AF93995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712A494" w14:textId="1999816F" w:rsidR="73555931" w:rsidRDefault="73555931" w:rsidP="73555931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19740BD1" w14:textId="34C294D2" w:rsidR="091988B5" w:rsidRDefault="091988B5" w:rsidP="6D45FC66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6D45FC66">
        <w:rPr>
          <w:rFonts w:ascii="Garamond" w:eastAsia="Garamond" w:hAnsi="Garamond" w:cs="Garamond"/>
          <w:b/>
          <w:bCs/>
          <w:sz w:val="28"/>
          <w:szCs w:val="28"/>
        </w:rPr>
        <w:t>Part 1:</w:t>
      </w:r>
    </w:p>
    <w:p w14:paraId="0D3FE006" w14:textId="6E317FF8" w:rsidR="73555931" w:rsidRDefault="091988B5" w:rsidP="5AF93995">
      <w:pPr>
        <w:rPr>
          <w:rFonts w:ascii="Garamond" w:eastAsia="Garamond" w:hAnsi="Garamond" w:cs="Garamond"/>
          <w:sz w:val="24"/>
          <w:szCs w:val="24"/>
        </w:rPr>
      </w:pPr>
      <w:r w:rsidRPr="5AF93995">
        <w:rPr>
          <w:rFonts w:ascii="Garamond" w:eastAsia="Garamond" w:hAnsi="Garamond" w:cs="Garamond"/>
          <w:sz w:val="24"/>
          <w:szCs w:val="24"/>
        </w:rPr>
        <w:t xml:space="preserve">Watch the </w:t>
      </w:r>
      <w:r w:rsidR="233F2887" w:rsidRPr="5AF93995">
        <w:rPr>
          <w:rFonts w:ascii="Garamond" w:eastAsia="Garamond" w:hAnsi="Garamond" w:cs="Garamond"/>
          <w:sz w:val="24"/>
          <w:szCs w:val="24"/>
        </w:rPr>
        <w:t>YouTube</w:t>
      </w:r>
      <w:r w:rsidRPr="5AF93995">
        <w:rPr>
          <w:rFonts w:ascii="Garamond" w:eastAsia="Garamond" w:hAnsi="Garamond" w:cs="Garamond"/>
          <w:sz w:val="24"/>
          <w:szCs w:val="24"/>
        </w:rPr>
        <w:t xml:space="preserve"> video titled James Marcia’s Adolescent Identity Development</w:t>
      </w:r>
      <w:r w:rsidR="392E2355" w:rsidRPr="5AF93995">
        <w:rPr>
          <w:rFonts w:ascii="Garamond" w:eastAsia="Garamond" w:hAnsi="Garamond" w:cs="Garamond"/>
          <w:sz w:val="24"/>
          <w:szCs w:val="24"/>
        </w:rPr>
        <w:t xml:space="preserve"> &amp; answer the questions about exploration and commitment.</w:t>
      </w:r>
    </w:p>
    <w:p w14:paraId="0A0EFF04" w14:textId="78FF52D6" w:rsidR="73555931" w:rsidRDefault="00773E8F" w:rsidP="73555931">
      <w:pPr>
        <w:rPr>
          <w:rFonts w:ascii="Garamond" w:eastAsia="Garamond" w:hAnsi="Garamond" w:cs="Garamond"/>
          <w:sz w:val="28"/>
          <w:szCs w:val="28"/>
        </w:rPr>
      </w:pPr>
      <w:hyperlink r:id="rId5">
        <w:r w:rsidR="73555931" w:rsidRPr="73555931">
          <w:rPr>
            <w:rStyle w:val="Hyperlink"/>
            <w:rFonts w:ascii="Garamond" w:eastAsia="Garamond" w:hAnsi="Garamond" w:cs="Garamond"/>
            <w:sz w:val="28"/>
            <w:szCs w:val="28"/>
          </w:rPr>
          <w:t>James Marcia's Adolescent Identity Development</w:t>
        </w:r>
      </w:hyperlink>
    </w:p>
    <w:p w14:paraId="33B83083" w14:textId="60AA6F86" w:rsidR="73555931" w:rsidRDefault="73555931">
      <w:r>
        <w:rPr>
          <w:noProof/>
        </w:rPr>
        <w:drawing>
          <wp:anchor distT="0" distB="0" distL="114300" distR="114300" simplePos="0" relativeHeight="251657216" behindDoc="0" locked="0" layoutInCell="1" allowOverlap="1" wp14:anchorId="6242E8B0" wp14:editId="17E2E9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52800"/>
            <wp:effectExtent l="0" t="0" r="0" b="0"/>
            <wp:wrapSquare wrapText="bothSides"/>
            <wp:docPr id="571572244" name="picture" title="Video titled: James Marcia's Adolescent Identity Development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-JrZwmHU9x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DF322" w14:textId="180E7E7F" w:rsidR="73555931" w:rsidRDefault="73555931" w:rsidP="73555931">
      <w:pPr>
        <w:rPr>
          <w:rFonts w:ascii="Garamond" w:eastAsia="Garamond" w:hAnsi="Garamond" w:cs="Garamond"/>
          <w:sz w:val="28"/>
          <w:szCs w:val="28"/>
        </w:rPr>
      </w:pPr>
    </w:p>
    <w:p w14:paraId="7284B182" w14:textId="6B80EF2F" w:rsidR="6D45FC66" w:rsidRDefault="6D45FC66" w:rsidP="6D45FC66">
      <w:pPr>
        <w:rPr>
          <w:rFonts w:ascii="Garamond" w:eastAsia="Garamond" w:hAnsi="Garamond" w:cs="Garamond"/>
          <w:sz w:val="28"/>
          <w:szCs w:val="28"/>
        </w:rPr>
      </w:pPr>
    </w:p>
    <w:p w14:paraId="0AAB26EE" w14:textId="3923896B" w:rsidR="6B6899A7" w:rsidRDefault="6B6899A7" w:rsidP="6D45FC66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6D45FC66">
        <w:rPr>
          <w:rFonts w:ascii="Garamond" w:eastAsia="Garamond" w:hAnsi="Garamond" w:cs="Garamond"/>
          <w:b/>
          <w:bCs/>
          <w:sz w:val="28"/>
          <w:szCs w:val="28"/>
        </w:rPr>
        <w:t>Part 2:</w:t>
      </w:r>
    </w:p>
    <w:p w14:paraId="2A6A38C7" w14:textId="69B61B70" w:rsidR="6D45FC66" w:rsidRDefault="6D45FC66" w:rsidP="6D45FC66">
      <w:pPr>
        <w:rPr>
          <w:rFonts w:ascii="Garamond" w:eastAsia="Garamond" w:hAnsi="Garamond" w:cs="Garamond"/>
          <w:sz w:val="28"/>
          <w:szCs w:val="28"/>
        </w:rPr>
      </w:pPr>
    </w:p>
    <w:p w14:paraId="0004C627" w14:textId="02510045" w:rsidR="791D24B4" w:rsidRDefault="791D24B4" w:rsidP="5AF93995">
      <w:pPr>
        <w:rPr>
          <w:rFonts w:ascii="Garamond" w:eastAsia="Garamond" w:hAnsi="Garamond" w:cs="Garamond"/>
          <w:sz w:val="28"/>
          <w:szCs w:val="28"/>
        </w:rPr>
      </w:pPr>
      <w:r w:rsidRPr="5AF93995">
        <w:rPr>
          <w:rFonts w:ascii="Garamond" w:eastAsia="Garamond" w:hAnsi="Garamond" w:cs="Garamond"/>
          <w:sz w:val="28"/>
          <w:szCs w:val="28"/>
        </w:rPr>
        <w:t>Watch the YouTube video titled SMART Goals – Quick Overview</w:t>
      </w:r>
      <w:r w:rsidR="7F83BB18" w:rsidRPr="5AF93995">
        <w:rPr>
          <w:rFonts w:ascii="Garamond" w:eastAsia="Garamond" w:hAnsi="Garamond" w:cs="Garamond"/>
          <w:sz w:val="28"/>
          <w:szCs w:val="28"/>
        </w:rPr>
        <w:t xml:space="preserve"> &amp; develop goals SMART goals for </w:t>
      </w:r>
      <w:proofErr w:type="gramStart"/>
      <w:r w:rsidR="7F83BB18" w:rsidRPr="5AF93995">
        <w:rPr>
          <w:rFonts w:ascii="Garamond" w:eastAsia="Garamond" w:hAnsi="Garamond" w:cs="Garamond"/>
          <w:sz w:val="28"/>
          <w:szCs w:val="28"/>
        </w:rPr>
        <w:t>1, 5 and 10 year</w:t>
      </w:r>
      <w:proofErr w:type="gramEnd"/>
      <w:r w:rsidR="7F83BB18" w:rsidRPr="5AF93995">
        <w:rPr>
          <w:rFonts w:ascii="Garamond" w:eastAsia="Garamond" w:hAnsi="Garamond" w:cs="Garamond"/>
          <w:sz w:val="28"/>
          <w:szCs w:val="28"/>
        </w:rPr>
        <w:t xml:space="preserve"> periods.</w:t>
      </w:r>
    </w:p>
    <w:p w14:paraId="495AE30E" w14:textId="23B51FBF" w:rsidR="6D45FC66" w:rsidRDefault="6D45FC66" w:rsidP="6D45FC66">
      <w:pPr>
        <w:rPr>
          <w:rFonts w:ascii="Garamond" w:eastAsia="Garamond" w:hAnsi="Garamond" w:cs="Garamond"/>
          <w:sz w:val="28"/>
          <w:szCs w:val="28"/>
        </w:rPr>
      </w:pPr>
    </w:p>
    <w:p w14:paraId="72549013" w14:textId="2F782911" w:rsidR="6D45FC66" w:rsidRDefault="00773E8F" w:rsidP="6D45FC66">
      <w:pPr>
        <w:rPr>
          <w:rFonts w:ascii="Garamond" w:eastAsia="Garamond" w:hAnsi="Garamond" w:cs="Garamond"/>
          <w:sz w:val="28"/>
          <w:szCs w:val="28"/>
        </w:rPr>
      </w:pPr>
      <w:hyperlink r:id="rId7">
        <w:r w:rsidR="6D45FC66" w:rsidRPr="6D45FC66">
          <w:rPr>
            <w:rStyle w:val="Hyperlink"/>
            <w:rFonts w:ascii="Garamond" w:eastAsia="Garamond" w:hAnsi="Garamond" w:cs="Garamond"/>
            <w:sz w:val="28"/>
            <w:szCs w:val="28"/>
          </w:rPr>
          <w:t>SMART Goals - Quick Overview</w:t>
        </w:r>
      </w:hyperlink>
    </w:p>
    <w:p w14:paraId="7C082A42" w14:textId="6C3E287E" w:rsidR="6D45FC66" w:rsidRDefault="6D45FC66">
      <w:r>
        <w:rPr>
          <w:noProof/>
        </w:rPr>
        <w:drawing>
          <wp:anchor distT="0" distB="0" distL="114300" distR="114300" simplePos="0" relativeHeight="251658240" behindDoc="0" locked="0" layoutInCell="1" allowOverlap="1" wp14:anchorId="2F3997F5" wp14:editId="4755EBB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52800"/>
            <wp:effectExtent l="0" t="0" r="0" b="0"/>
            <wp:wrapSquare wrapText="bothSides"/>
            <wp:docPr id="1265174823" name="picture" title="Video titled: SMART Goals - Quick Overview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1-SvuFIQjK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55D4A" w14:textId="26581FCA" w:rsidR="5AF93995" w:rsidRDefault="5AF93995" w:rsidP="5AF93995">
      <w:pPr>
        <w:rPr>
          <w:rFonts w:ascii="Garamond" w:eastAsia="Garamond" w:hAnsi="Garamond" w:cs="Garamond"/>
          <w:sz w:val="28"/>
          <w:szCs w:val="28"/>
        </w:rPr>
      </w:pPr>
    </w:p>
    <w:p w14:paraId="611310FE" w14:textId="5C36B5E6" w:rsidR="4CAACEC9" w:rsidRDefault="4CAACEC9" w:rsidP="5AF93995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5AF93995">
        <w:rPr>
          <w:rFonts w:ascii="Garamond" w:eastAsia="Garamond" w:hAnsi="Garamond" w:cs="Garamond"/>
          <w:b/>
          <w:bCs/>
          <w:sz w:val="28"/>
          <w:szCs w:val="28"/>
        </w:rPr>
        <w:t>Assessment:</w:t>
      </w:r>
    </w:p>
    <w:p w14:paraId="3AFC416C" w14:textId="14B15975" w:rsidR="5AF93995" w:rsidRDefault="5AF93995" w:rsidP="5AF93995">
      <w:pPr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5AF93995" w14:paraId="38DE55F0" w14:textId="77777777" w:rsidTr="5AF93995">
        <w:tc>
          <w:tcPr>
            <w:tcW w:w="1872" w:type="dxa"/>
            <w:shd w:val="clear" w:color="auto" w:fill="BFBFBF" w:themeFill="background1" w:themeFillShade="BF"/>
          </w:tcPr>
          <w:p w14:paraId="717832AC" w14:textId="4F34933C" w:rsidR="4CAACEC9" w:rsidRDefault="4CAACEC9" w:rsidP="5AF9399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5AF9399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E62DAEB" w14:textId="265F9A94" w:rsidR="4CAACEC9" w:rsidRDefault="4CAACEC9" w:rsidP="5AF9399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5AF9399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1718F39" w14:textId="52DCCBAF" w:rsidR="4CAACEC9" w:rsidRDefault="4CAACEC9" w:rsidP="5AF9399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5AF9399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4E602952" w14:textId="7CE729BA" w:rsidR="4CAACEC9" w:rsidRDefault="4CAACEC9" w:rsidP="5AF9399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5AF9399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42EF14D4" w14:textId="5C4B51D8" w:rsidR="4CAACEC9" w:rsidRDefault="4CAACEC9" w:rsidP="5AF93995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5AF93995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</w:t>
            </w:r>
          </w:p>
        </w:tc>
      </w:tr>
      <w:tr w:rsidR="5AF93995" w14:paraId="25AD188A" w14:textId="77777777" w:rsidTr="5AF93995">
        <w:tc>
          <w:tcPr>
            <w:tcW w:w="1872" w:type="dxa"/>
          </w:tcPr>
          <w:p w14:paraId="40DACC72" w14:textId="5AF5BB83" w:rsidR="4CAACEC9" w:rsidRDefault="4CAACEC9" w:rsidP="5AF93995">
            <w:pPr>
              <w:rPr>
                <w:rFonts w:ascii="Garamond" w:eastAsia="Garamond" w:hAnsi="Garamond" w:cs="Garamond"/>
              </w:rPr>
            </w:pPr>
            <w:r w:rsidRPr="5AF93995">
              <w:rPr>
                <w:rFonts w:ascii="Garamond" w:eastAsia="Garamond" w:hAnsi="Garamond" w:cs="Garamond"/>
              </w:rPr>
              <w:t>Incomplete</w:t>
            </w:r>
          </w:p>
        </w:tc>
        <w:tc>
          <w:tcPr>
            <w:tcW w:w="1872" w:type="dxa"/>
          </w:tcPr>
          <w:p w14:paraId="3B5057F0" w14:textId="0DC918CC" w:rsidR="4CAACEC9" w:rsidRDefault="4CAACEC9" w:rsidP="5AF93995">
            <w:pPr>
              <w:rPr>
                <w:rFonts w:ascii="Garamond" w:eastAsia="Garamond" w:hAnsi="Garamond" w:cs="Garamond"/>
              </w:rPr>
            </w:pPr>
            <w:r w:rsidRPr="5AF93995">
              <w:rPr>
                <w:rFonts w:ascii="Garamond" w:eastAsia="Garamond" w:hAnsi="Garamond" w:cs="Garamond"/>
              </w:rPr>
              <w:t>Answers are present but lack detail and formatting.</w:t>
            </w:r>
          </w:p>
        </w:tc>
        <w:tc>
          <w:tcPr>
            <w:tcW w:w="1872" w:type="dxa"/>
          </w:tcPr>
          <w:p w14:paraId="74289268" w14:textId="33823FF7" w:rsidR="4CAACEC9" w:rsidRDefault="4CAACEC9" w:rsidP="5AF93995">
            <w:pPr>
              <w:rPr>
                <w:rFonts w:ascii="Garamond" w:eastAsia="Garamond" w:hAnsi="Garamond" w:cs="Garamond"/>
              </w:rPr>
            </w:pPr>
            <w:r w:rsidRPr="5AF93995">
              <w:rPr>
                <w:rFonts w:ascii="Garamond" w:eastAsia="Garamond" w:hAnsi="Garamond" w:cs="Garamond"/>
              </w:rPr>
              <w:t xml:space="preserve">Answers are complete &amp; follow a SMART format. </w:t>
            </w:r>
          </w:p>
        </w:tc>
        <w:tc>
          <w:tcPr>
            <w:tcW w:w="1872" w:type="dxa"/>
          </w:tcPr>
          <w:p w14:paraId="1F9FA399" w14:textId="37A11442" w:rsidR="4CAACEC9" w:rsidRDefault="4CAACEC9" w:rsidP="5AF93995">
            <w:pPr>
              <w:rPr>
                <w:rFonts w:ascii="Garamond" w:eastAsia="Garamond" w:hAnsi="Garamond" w:cs="Garamond"/>
              </w:rPr>
            </w:pPr>
            <w:r w:rsidRPr="5AF93995">
              <w:rPr>
                <w:rFonts w:ascii="Garamond" w:eastAsia="Garamond" w:hAnsi="Garamond" w:cs="Garamond"/>
              </w:rPr>
              <w:t>Answers are detailed and specific.</w:t>
            </w:r>
          </w:p>
        </w:tc>
        <w:tc>
          <w:tcPr>
            <w:tcW w:w="1872" w:type="dxa"/>
          </w:tcPr>
          <w:p w14:paraId="3F285E2B" w14:textId="2C679CE0" w:rsidR="4CAACEC9" w:rsidRDefault="4CAACEC9" w:rsidP="5AF93995">
            <w:pPr>
              <w:rPr>
                <w:rFonts w:ascii="Garamond" w:eastAsia="Garamond" w:hAnsi="Garamond" w:cs="Garamond"/>
              </w:rPr>
            </w:pPr>
            <w:r w:rsidRPr="5AF93995">
              <w:rPr>
                <w:rFonts w:ascii="Garamond" w:eastAsia="Garamond" w:hAnsi="Garamond" w:cs="Garamond"/>
              </w:rPr>
              <w:t xml:space="preserve">Answers are detailed, </w:t>
            </w:r>
            <w:proofErr w:type="gramStart"/>
            <w:r w:rsidRPr="5AF93995">
              <w:rPr>
                <w:rFonts w:ascii="Garamond" w:eastAsia="Garamond" w:hAnsi="Garamond" w:cs="Garamond"/>
              </w:rPr>
              <w:t>insightful</w:t>
            </w:r>
            <w:proofErr w:type="gramEnd"/>
            <w:r w:rsidRPr="5AF93995">
              <w:rPr>
                <w:rFonts w:ascii="Garamond" w:eastAsia="Garamond" w:hAnsi="Garamond" w:cs="Garamond"/>
              </w:rPr>
              <w:t xml:space="preserve"> and specific to the student.</w:t>
            </w:r>
          </w:p>
        </w:tc>
      </w:tr>
    </w:tbl>
    <w:p w14:paraId="6B3A82C6" w14:textId="43F11D1F" w:rsidR="6D45FC66" w:rsidRDefault="6D45FC66" w:rsidP="6D45FC66">
      <w:pPr>
        <w:rPr>
          <w:rFonts w:ascii="Garamond" w:eastAsia="Garamond" w:hAnsi="Garamond" w:cs="Garamond"/>
          <w:sz w:val="28"/>
          <w:szCs w:val="28"/>
        </w:rPr>
      </w:pPr>
    </w:p>
    <w:p w14:paraId="5A82F69F" w14:textId="17711A1F" w:rsidR="6D45FC66" w:rsidRDefault="6D45FC66" w:rsidP="6D45FC66">
      <w:pPr>
        <w:rPr>
          <w:rFonts w:ascii="Garamond" w:eastAsia="Garamond" w:hAnsi="Garamond" w:cs="Garamond"/>
          <w:sz w:val="28"/>
          <w:szCs w:val="28"/>
        </w:rPr>
      </w:pPr>
    </w:p>
    <w:p w14:paraId="45919C0D" w14:textId="0764C181" w:rsidR="5AF93995" w:rsidRDefault="5AF93995" w:rsidP="5AF93995">
      <w:pPr>
        <w:rPr>
          <w:rFonts w:ascii="Garamond" w:eastAsia="Garamond" w:hAnsi="Garamond" w:cs="Garamond"/>
          <w:sz w:val="28"/>
          <w:szCs w:val="28"/>
        </w:rPr>
      </w:pPr>
    </w:p>
    <w:p w14:paraId="64286D0D" w14:textId="3CA26652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03497B82" w14:textId="5D3D42DC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574820C0" w14:textId="30FB80E0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3B4867BC" w14:textId="187B0D65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24233558" w14:textId="13175D6C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5852EAF2" w14:textId="044C35E1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6A967E5C" w14:textId="44517190" w:rsidR="091988B5" w:rsidRDefault="091988B5" w:rsidP="6D45FC66">
      <w:pPr>
        <w:rPr>
          <w:rFonts w:ascii="Garamond" w:eastAsia="Garamond" w:hAnsi="Garamond" w:cs="Garamond"/>
          <w:sz w:val="28"/>
          <w:szCs w:val="28"/>
        </w:rPr>
      </w:pPr>
    </w:p>
    <w:p w14:paraId="377B7B7F" w14:textId="7069A8C5" w:rsidR="091988B5" w:rsidRDefault="091988B5" w:rsidP="73555931">
      <w:pPr>
        <w:rPr>
          <w:rFonts w:ascii="Garamond" w:eastAsia="Garamond" w:hAnsi="Garamond" w:cs="Garamond"/>
          <w:sz w:val="28"/>
          <w:szCs w:val="28"/>
        </w:rPr>
      </w:pPr>
    </w:p>
    <w:sectPr w:rsidR="09198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3B3"/>
    <w:multiLevelType w:val="hybridMultilevel"/>
    <w:tmpl w:val="F0185A44"/>
    <w:lvl w:ilvl="0" w:tplc="61580936">
      <w:start w:val="1"/>
      <w:numFmt w:val="decimal"/>
      <w:lvlText w:val="%1."/>
      <w:lvlJc w:val="left"/>
      <w:pPr>
        <w:ind w:left="720" w:hanging="360"/>
      </w:pPr>
    </w:lvl>
    <w:lvl w:ilvl="1" w:tplc="B5224CE4">
      <w:start w:val="1"/>
      <w:numFmt w:val="lowerLetter"/>
      <w:lvlText w:val="%2."/>
      <w:lvlJc w:val="left"/>
      <w:pPr>
        <w:ind w:left="1440" w:hanging="360"/>
      </w:pPr>
    </w:lvl>
    <w:lvl w:ilvl="2" w:tplc="477269B4">
      <w:start w:val="1"/>
      <w:numFmt w:val="lowerRoman"/>
      <w:lvlText w:val="%3."/>
      <w:lvlJc w:val="right"/>
      <w:pPr>
        <w:ind w:left="2160" w:hanging="180"/>
      </w:pPr>
    </w:lvl>
    <w:lvl w:ilvl="3" w:tplc="8A0C7B86">
      <w:start w:val="1"/>
      <w:numFmt w:val="decimal"/>
      <w:lvlText w:val="%4."/>
      <w:lvlJc w:val="left"/>
      <w:pPr>
        <w:ind w:left="2880" w:hanging="360"/>
      </w:pPr>
    </w:lvl>
    <w:lvl w:ilvl="4" w:tplc="565450BE">
      <w:start w:val="1"/>
      <w:numFmt w:val="lowerLetter"/>
      <w:lvlText w:val="%5."/>
      <w:lvlJc w:val="left"/>
      <w:pPr>
        <w:ind w:left="3600" w:hanging="360"/>
      </w:pPr>
    </w:lvl>
    <w:lvl w:ilvl="5" w:tplc="03C60546">
      <w:start w:val="1"/>
      <w:numFmt w:val="lowerRoman"/>
      <w:lvlText w:val="%6."/>
      <w:lvlJc w:val="right"/>
      <w:pPr>
        <w:ind w:left="4320" w:hanging="180"/>
      </w:pPr>
    </w:lvl>
    <w:lvl w:ilvl="6" w:tplc="BF56CB62">
      <w:start w:val="1"/>
      <w:numFmt w:val="decimal"/>
      <w:lvlText w:val="%7."/>
      <w:lvlJc w:val="left"/>
      <w:pPr>
        <w:ind w:left="5040" w:hanging="360"/>
      </w:pPr>
    </w:lvl>
    <w:lvl w:ilvl="7" w:tplc="E682CA08">
      <w:start w:val="1"/>
      <w:numFmt w:val="lowerLetter"/>
      <w:lvlText w:val="%8."/>
      <w:lvlJc w:val="left"/>
      <w:pPr>
        <w:ind w:left="5760" w:hanging="360"/>
      </w:pPr>
    </w:lvl>
    <w:lvl w:ilvl="8" w:tplc="429CD2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6B5309"/>
    <w:rsid w:val="00773E8F"/>
    <w:rsid w:val="0093C0F3"/>
    <w:rsid w:val="00B06FDE"/>
    <w:rsid w:val="01B7AEF9"/>
    <w:rsid w:val="034A2AAB"/>
    <w:rsid w:val="089E39CB"/>
    <w:rsid w:val="091988B5"/>
    <w:rsid w:val="0AB55916"/>
    <w:rsid w:val="0B153DCF"/>
    <w:rsid w:val="0BCA6870"/>
    <w:rsid w:val="0D591B9E"/>
    <w:rsid w:val="0DECF9D8"/>
    <w:rsid w:val="0E4CDE91"/>
    <w:rsid w:val="0EDA95C6"/>
    <w:rsid w:val="0F88CA39"/>
    <w:rsid w:val="1098A9E6"/>
    <w:rsid w:val="14B92BB8"/>
    <w:rsid w:val="14E27904"/>
    <w:rsid w:val="183DCA3D"/>
    <w:rsid w:val="1892D9CB"/>
    <w:rsid w:val="19977EBE"/>
    <w:rsid w:val="1A225C86"/>
    <w:rsid w:val="1D3DAF5A"/>
    <w:rsid w:val="1D6B5309"/>
    <w:rsid w:val="1D772CEE"/>
    <w:rsid w:val="21C96707"/>
    <w:rsid w:val="233F2887"/>
    <w:rsid w:val="26161D0D"/>
    <w:rsid w:val="289DC2DB"/>
    <w:rsid w:val="294DBDCF"/>
    <w:rsid w:val="29D478EC"/>
    <w:rsid w:val="2B70494D"/>
    <w:rsid w:val="2C77F5D7"/>
    <w:rsid w:val="2EADDE5C"/>
    <w:rsid w:val="3003BBAF"/>
    <w:rsid w:val="333B5C71"/>
    <w:rsid w:val="392E2355"/>
    <w:rsid w:val="3F22CB74"/>
    <w:rsid w:val="405B2760"/>
    <w:rsid w:val="40ADBDB3"/>
    <w:rsid w:val="43356381"/>
    <w:rsid w:val="473E638F"/>
    <w:rsid w:val="4AF37FC3"/>
    <w:rsid w:val="4CAACEC9"/>
    <w:rsid w:val="4E77E779"/>
    <w:rsid w:val="510A9DD9"/>
    <w:rsid w:val="53D7D841"/>
    <w:rsid w:val="55E5FC82"/>
    <w:rsid w:val="5625FB43"/>
    <w:rsid w:val="563D93D2"/>
    <w:rsid w:val="57C85769"/>
    <w:rsid w:val="59C2B655"/>
    <w:rsid w:val="5AF93995"/>
    <w:rsid w:val="5CF4A442"/>
    <w:rsid w:val="5ED3E062"/>
    <w:rsid w:val="69137E7B"/>
    <w:rsid w:val="6AB66912"/>
    <w:rsid w:val="6B6899A7"/>
    <w:rsid w:val="6BEA2AC6"/>
    <w:rsid w:val="6C4F4516"/>
    <w:rsid w:val="6C960172"/>
    <w:rsid w:val="6D45FC66"/>
    <w:rsid w:val="6D85FB27"/>
    <w:rsid w:val="6DEE09D4"/>
    <w:rsid w:val="700A6F52"/>
    <w:rsid w:val="70E33DFB"/>
    <w:rsid w:val="73555931"/>
    <w:rsid w:val="75DCFEFF"/>
    <w:rsid w:val="77611A41"/>
    <w:rsid w:val="791D24B4"/>
    <w:rsid w:val="7F1EC6F5"/>
    <w:rsid w:val="7F83B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5309"/>
  <w15:chartTrackingRefBased/>
  <w15:docId w15:val="{7065E034-0CFF-41CE-86A4-7082502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1-SvuFIQj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outu.be/-JrZwmHU9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McIndoe</dc:creator>
  <cp:keywords/>
  <dc:description/>
  <cp:lastModifiedBy>Ryan McIndoe</cp:lastModifiedBy>
  <cp:revision>2</cp:revision>
  <dcterms:created xsi:type="dcterms:W3CDTF">2022-01-06T17:14:00Z</dcterms:created>
  <dcterms:modified xsi:type="dcterms:W3CDTF">2022-01-06T17:14:00Z</dcterms:modified>
</cp:coreProperties>
</file>